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1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78"/>
        <w:gridCol w:w="3323"/>
        <w:gridCol w:w="3107"/>
      </w:tblGrid>
      <w:tr w:rsidR="00E022BD">
        <w:trPr>
          <w:trHeight w:val="1114"/>
        </w:trPr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22BD" w:rsidRDefault="00441303">
            <w:pPr>
              <w:pStyle w:val="Heading"/>
              <w:rPr>
                <w:rStyle w:val="NoneA"/>
                <w:color w:val="1F4E79"/>
                <w:u w:color="1F4E79"/>
              </w:rPr>
            </w:pPr>
            <w:r>
              <w:rPr>
                <w:rStyle w:val="NoneB"/>
                <w:color w:val="1F4E79"/>
                <w:u w:color="1F4E79"/>
              </w:rPr>
              <w:t>David Jefferson</w:t>
            </w:r>
          </w:p>
          <w:p w:rsidR="00E022BD" w:rsidRDefault="00441303">
            <w:pPr>
              <w:pStyle w:val="Heading4"/>
              <w:spacing w:before="120" w:after="0"/>
            </w:pPr>
            <w:r>
              <w:rPr>
                <w:rStyle w:val="NoneA"/>
                <w:color w:val="1F4E79"/>
                <w:u w:color="1F4E79"/>
              </w:rPr>
              <w:t>Innovation Leadership Profile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22BD" w:rsidRDefault="00441303">
            <w:pPr>
              <w:pStyle w:val="Heading3"/>
              <w:jc w:val="right"/>
            </w:pPr>
            <w:hyperlink r:id="rId7" w:history="1">
              <w:r>
                <w:rPr>
                  <w:rStyle w:val="Hyperlink0"/>
                </w:rPr>
                <w:t>djeffersonaaa@gmail.com</w:t>
              </w:r>
            </w:hyperlink>
            <w:r>
              <w:rPr>
                <w:rStyle w:val="NoneB"/>
              </w:rPr>
              <w:t xml:space="preserve"> </w:t>
            </w:r>
            <w:r>
              <w:rPr>
                <w:rStyle w:val="NoneA"/>
                <w:color w:val="1F4E79"/>
                <w:u w:color="1F4E79"/>
              </w:rPr>
              <w:t>• 210-900-5107</w:t>
            </w:r>
          </w:p>
          <w:p w:rsidR="00E022BD" w:rsidRDefault="00441303">
            <w:pPr>
              <w:pStyle w:val="Heading3"/>
              <w:jc w:val="right"/>
            </w:pPr>
            <w:r>
              <w:rPr>
                <w:rStyle w:val="NoneA"/>
                <w:color w:val="1F4E79"/>
                <w:u w:color="1F4E79"/>
              </w:rPr>
              <w:t>San Antonio, TX</w:t>
            </w:r>
          </w:p>
        </w:tc>
      </w:tr>
      <w:tr w:rsidR="00E022BD">
        <w:trPr>
          <w:trHeight w:val="3014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2BD" w:rsidRDefault="00441303">
            <w:pPr>
              <w:pStyle w:val="BodyA"/>
              <w:spacing w:after="120"/>
              <w:rPr>
                <w:rStyle w:val="NoneA"/>
                <w:color w:val="1F4E79"/>
                <w:u w:color="1F4E79"/>
              </w:rPr>
            </w:pPr>
            <w:r>
              <w:rPr>
                <w:rStyle w:val="NoneA"/>
                <w:b/>
                <w:bCs/>
                <w:color w:val="1F4E79"/>
                <w:u w:color="1F4E79"/>
              </w:rPr>
              <w:t xml:space="preserve">Accomplished leader with 15+ years' career track record of driving organizational performance, </w:t>
            </w:r>
            <w:r>
              <w:rPr>
                <w:rStyle w:val="NoneA"/>
                <w:b/>
                <w:bCs/>
                <w:color w:val="1F4E79"/>
                <w:u w:color="1F4E79"/>
              </w:rPr>
              <w:t>profitability, and growth by developing robust strategies and tactics for successfully launching and scaling P&amp;C insurance products and initiatives. </w:t>
            </w:r>
          </w:p>
          <w:p w:rsidR="00E022BD" w:rsidRDefault="00441303">
            <w:pPr>
              <w:pStyle w:val="BodyA"/>
              <w:jc w:val="both"/>
            </w:pPr>
            <w:r>
              <w:rPr>
                <w:rStyle w:val="NoneA"/>
                <w:color w:val="1F4E79"/>
                <w:u w:color="1F4E79"/>
              </w:rPr>
              <w:t>Dynamic and action-driven professional with demonstrated success in managing clients and end-to-end phases</w:t>
            </w:r>
            <w:r>
              <w:rPr>
                <w:rStyle w:val="NoneA"/>
                <w:color w:val="1F4E79"/>
                <w:u w:color="1F4E79"/>
              </w:rPr>
              <w:t xml:space="preserve"> of impactful products and programs, delivering high-caliber products/solutions that consistently exceed expectations and accelerate bottom-line growth. Excel at leading research and development initiatives, while aligning development efforts with business</w:t>
            </w:r>
            <w:r>
              <w:rPr>
                <w:rStyle w:val="NoneA"/>
                <w:color w:val="1F4E79"/>
                <w:u w:color="1F4E79"/>
              </w:rPr>
              <w:t xml:space="preserve"> needs. Equipped with managerial and interpersonal skills, leading cross-functional teams in the achievement of project deliverables within agreed budgets and timelines. Recognized for providing critical leadership to build new ventures, accelerate growth,</w:t>
            </w:r>
            <w:r>
              <w:rPr>
                <w:rStyle w:val="NoneA"/>
                <w:color w:val="1F4E79"/>
                <w:u w:color="1F4E79"/>
              </w:rPr>
              <w:t xml:space="preserve"> revitalize underperforming operations, and deliver strong financial results. Exceptional skills in working with peers, teams, clients, industry partners, and stakeholders, and nurturing a positive work culture of open communication, accountability, and ex</w:t>
            </w:r>
            <w:r>
              <w:rPr>
                <w:rStyle w:val="NoneA"/>
                <w:color w:val="1F4E79"/>
                <w:u w:color="1F4E79"/>
              </w:rPr>
              <w:t>cellence.</w:t>
            </w:r>
          </w:p>
        </w:tc>
      </w:tr>
      <w:tr w:rsidR="00E022BD">
        <w:trPr>
          <w:trHeight w:val="45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2"/>
              <w:spacing w:after="0" w:line="336" w:lineRule="auto"/>
            </w:pPr>
            <w:r>
              <w:rPr>
                <w:rStyle w:val="NoneA"/>
                <w:color w:val="1F4E79"/>
                <w:u w:color="1F4E79"/>
              </w:rPr>
              <w:t>Areas of Expertise</w:t>
            </w:r>
          </w:p>
        </w:tc>
      </w:tr>
      <w:tr w:rsidR="00E022BD">
        <w:trPr>
          <w:trHeight w:val="135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>
              <w:rPr>
                <w:rStyle w:val="NoneB"/>
              </w:rPr>
              <w:t xml:space="preserve">P&amp;C Product Lifecycle Management </w:t>
            </w:r>
          </w:p>
          <w:p w:rsidR="00E022BD" w:rsidRDefault="00441303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>
              <w:rPr>
                <w:rStyle w:val="NoneB"/>
              </w:rPr>
              <w:t xml:space="preserve">Competitive &amp; Market Analysis </w:t>
            </w:r>
          </w:p>
          <w:p w:rsidR="00E022BD" w:rsidRDefault="00441303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>
              <w:rPr>
                <w:rStyle w:val="NoneB"/>
              </w:rPr>
              <w:t>Research &amp; Development (R&amp;D)</w:t>
            </w:r>
          </w:p>
          <w:p w:rsidR="00E022BD" w:rsidRDefault="00441303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>
              <w:rPr>
                <w:rStyle w:val="NoneB"/>
              </w:rPr>
              <w:t xml:space="preserve">Mergers &amp; Acquisitions (M&amp;A) 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ListParagraph"/>
              <w:numPr>
                <w:ilvl w:val="0"/>
                <w:numId w:val="2"/>
              </w:numPr>
              <w:spacing w:after="0" w:line="276" w:lineRule="auto"/>
            </w:pPr>
            <w:r>
              <w:rPr>
                <w:rStyle w:val="NoneB"/>
              </w:rPr>
              <w:t xml:space="preserve">Business Development Planning </w:t>
            </w:r>
          </w:p>
          <w:p w:rsidR="00E022BD" w:rsidRDefault="00441303">
            <w:pPr>
              <w:pStyle w:val="ListParagraph"/>
              <w:numPr>
                <w:ilvl w:val="0"/>
                <w:numId w:val="2"/>
              </w:numPr>
              <w:spacing w:after="0" w:line="276" w:lineRule="auto"/>
            </w:pPr>
            <w:r>
              <w:rPr>
                <w:rStyle w:val="NoneB"/>
              </w:rPr>
              <w:t xml:space="preserve">Profit &amp; Revenue Growth </w:t>
            </w:r>
          </w:p>
          <w:p w:rsidR="00E022BD" w:rsidRDefault="00441303">
            <w:pPr>
              <w:pStyle w:val="ListParagraph"/>
              <w:numPr>
                <w:ilvl w:val="0"/>
                <w:numId w:val="2"/>
              </w:numPr>
              <w:spacing w:after="0" w:line="276" w:lineRule="auto"/>
            </w:pPr>
            <w:r>
              <w:rPr>
                <w:rStyle w:val="NoneB"/>
              </w:rPr>
              <w:t xml:space="preserve">Team Leadership &amp; Training </w:t>
            </w:r>
          </w:p>
          <w:p w:rsidR="00E022BD" w:rsidRDefault="00441303">
            <w:pPr>
              <w:pStyle w:val="ListParagraph"/>
              <w:numPr>
                <w:ilvl w:val="0"/>
                <w:numId w:val="2"/>
              </w:numPr>
              <w:spacing w:after="0" w:line="276" w:lineRule="auto"/>
            </w:pPr>
            <w:r>
              <w:rPr>
                <w:rStyle w:val="NoneB"/>
              </w:rPr>
              <w:t xml:space="preserve">Go-to-Market Strategy  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ListParagraph"/>
              <w:numPr>
                <w:ilvl w:val="0"/>
                <w:numId w:val="3"/>
              </w:numPr>
              <w:spacing w:after="0" w:line="276" w:lineRule="auto"/>
            </w:pPr>
            <w:r>
              <w:rPr>
                <w:rStyle w:val="NoneB"/>
              </w:rPr>
              <w:t xml:space="preserve">Project/Program Management </w:t>
            </w:r>
          </w:p>
          <w:p w:rsidR="00E022BD" w:rsidRDefault="00441303">
            <w:pPr>
              <w:pStyle w:val="ListParagraph"/>
              <w:numPr>
                <w:ilvl w:val="0"/>
                <w:numId w:val="3"/>
              </w:numPr>
              <w:spacing w:after="0" w:line="276" w:lineRule="auto"/>
            </w:pPr>
            <w:r>
              <w:rPr>
                <w:rStyle w:val="NoneB"/>
              </w:rPr>
              <w:t xml:space="preserve">Customer Service &amp; Support </w:t>
            </w:r>
          </w:p>
          <w:p w:rsidR="00E022BD" w:rsidRDefault="00441303">
            <w:pPr>
              <w:pStyle w:val="ListParagraph"/>
              <w:numPr>
                <w:ilvl w:val="0"/>
                <w:numId w:val="3"/>
              </w:numPr>
              <w:spacing w:after="0" w:line="276" w:lineRule="auto"/>
            </w:pPr>
            <w:r>
              <w:rPr>
                <w:rStyle w:val="NoneB"/>
              </w:rPr>
              <w:t xml:space="preserve">Stakeholder Engagement </w:t>
            </w:r>
          </w:p>
          <w:p w:rsidR="00E022BD" w:rsidRDefault="00441303">
            <w:pPr>
              <w:pStyle w:val="ListParagraph"/>
              <w:numPr>
                <w:ilvl w:val="0"/>
                <w:numId w:val="3"/>
              </w:numPr>
              <w:spacing w:after="0" w:line="276" w:lineRule="auto"/>
            </w:pPr>
            <w:r>
              <w:rPr>
                <w:rStyle w:val="NoneB"/>
              </w:rPr>
              <w:t xml:space="preserve">Risk &amp; Compliance Management  </w:t>
            </w:r>
          </w:p>
        </w:tc>
      </w:tr>
      <w:tr w:rsidR="00E022BD">
        <w:trPr>
          <w:trHeight w:val="45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2"/>
            </w:pPr>
            <w:r>
              <w:rPr>
                <w:rStyle w:val="NoneA"/>
                <w:color w:val="1F4E79"/>
                <w:u w:color="1F4E79"/>
              </w:rPr>
              <w:t>Professional Experience</w:t>
            </w:r>
            <w:bookmarkStart w:id="0" w:name="_GoBack"/>
            <w:bookmarkEnd w:id="0"/>
          </w:p>
        </w:tc>
      </w:tr>
      <w:tr w:rsidR="00E022BD">
        <w:trPr>
          <w:trHeight w:val="528"/>
        </w:trPr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3"/>
              <w:spacing w:line="192" w:lineRule="auto"/>
              <w:rPr>
                <w:rStyle w:val="NoneA"/>
                <w:b/>
                <w:bCs/>
                <w:color w:val="1F4E79"/>
                <w:u w:color="1F4E79"/>
              </w:rPr>
            </w:pPr>
            <w:r>
              <w:rPr>
                <w:rStyle w:val="NoneB"/>
                <w:b/>
                <w:bCs/>
                <w:color w:val="1F4E79"/>
                <w:u w:color="1F4E79"/>
              </w:rPr>
              <w:t>HCL America, Inc., San Antonio, TX</w:t>
            </w:r>
          </w:p>
          <w:p w:rsidR="00E022BD" w:rsidRDefault="00441303">
            <w:pPr>
              <w:pStyle w:val="Heading3"/>
              <w:spacing w:line="192" w:lineRule="auto"/>
            </w:pPr>
            <w:r>
              <w:rPr>
                <w:rStyle w:val="NoneA"/>
                <w:color w:val="1F4E79"/>
                <w:u w:color="1F4E79"/>
              </w:rPr>
              <w:t xml:space="preserve">Practice Director  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3"/>
              <w:spacing w:line="192" w:lineRule="auto"/>
              <w:jc w:val="right"/>
            </w:pPr>
            <w:r>
              <w:rPr>
                <w:rStyle w:val="NoneA"/>
                <w:b/>
                <w:bCs/>
                <w:color w:val="1F4E79"/>
                <w:u w:color="1F4E79"/>
              </w:rPr>
              <w:t>2021 — 2023</w:t>
            </w:r>
          </w:p>
        </w:tc>
      </w:tr>
      <w:tr w:rsidR="00E022BD">
        <w:trPr>
          <w:trHeight w:val="3554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BodyA"/>
              <w:spacing w:after="120"/>
              <w:jc w:val="both"/>
            </w:pPr>
            <w:r>
              <w:rPr>
                <w:rStyle w:val="NoneA"/>
                <w:color w:val="000000"/>
                <w:u w:color="000000"/>
              </w:rPr>
              <w:t xml:space="preserve">Drove a transformative </w:t>
            </w:r>
            <w:r>
              <w:rPr>
                <w:rStyle w:val="NoneA"/>
                <w:color w:val="000000"/>
                <w:u w:color="000000"/>
              </w:rPr>
              <w:t xml:space="preserve">approach to P&amp;C insurance business challenges, by cultivating relationships with internal/external stakeholders and applying a data-focused communication and product management framework. Led cross-functional teams in evaluating extensive datasets for the </w:t>
            </w:r>
            <w:r>
              <w:rPr>
                <w:rStyle w:val="NoneA"/>
                <w:color w:val="000000"/>
                <w:u w:color="000000"/>
              </w:rPr>
              <w:t>development and launch of AI and ML insurance products. </w:t>
            </w:r>
          </w:p>
          <w:p w:rsidR="00E022BD" w:rsidRDefault="00441303">
            <w:pPr>
              <w:pStyle w:val="ListParagraph"/>
              <w:numPr>
                <w:ilvl w:val="0"/>
                <w:numId w:val="4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 xml:space="preserve">Teamed up with the client, data scientists, marketing, and sales to research, engineer, and implement an analytic data model homeowners and auto productivity framework for a top 10 P&amp;C insurance </w:t>
            </w:r>
            <w:r>
              <w:rPr>
                <w:rStyle w:val="NoneB"/>
                <w:color w:val="000000"/>
                <w:u w:color="000000"/>
              </w:rPr>
              <w:t>client. This initiative yielded a 5% increase in new business growth.</w:t>
            </w:r>
          </w:p>
          <w:p w:rsidR="00E022BD" w:rsidRDefault="00441303">
            <w:pPr>
              <w:pStyle w:val="ListParagraph"/>
              <w:numPr>
                <w:ilvl w:val="0"/>
                <w:numId w:val="4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>Collaborated with Delivery and COE teams in formulating a strategic auto and homeowners Guidewire implementation strategy in alignment with client objectives and industry trends, securin</w:t>
            </w:r>
            <w:r>
              <w:rPr>
                <w:rStyle w:val="NoneB"/>
                <w:color w:val="000000"/>
                <w:u w:color="000000"/>
              </w:rPr>
              <w:t>g a $40M win. </w:t>
            </w:r>
          </w:p>
          <w:p w:rsidR="00E022BD" w:rsidRDefault="00441303">
            <w:pPr>
              <w:pStyle w:val="ListParagraph"/>
              <w:numPr>
                <w:ilvl w:val="0"/>
                <w:numId w:val="4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>Partnered with the client, compliance, pricing, and underwriting to devise a data-driven analytic strategy for accurate vehicle-specific annual mileage ratings, resulting in a $35M return on investment.</w:t>
            </w:r>
          </w:p>
          <w:p w:rsidR="00E022BD" w:rsidRDefault="00441303">
            <w:pPr>
              <w:pStyle w:val="ListParagraph"/>
              <w:numPr>
                <w:ilvl w:val="0"/>
                <w:numId w:val="4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>Spearheaded a merger and acquisition d</w:t>
            </w:r>
            <w:r>
              <w:rPr>
                <w:rStyle w:val="NoneB"/>
                <w:color w:val="000000"/>
                <w:u w:color="000000"/>
              </w:rPr>
              <w:t>ata migration initiative as the Product Owner, ensuring effective identification, control, and mitigation of associated risks in line with company policies, and presenting progress/results to the client’s senior leadership in weekly sessions.</w:t>
            </w:r>
          </w:p>
        </w:tc>
      </w:tr>
      <w:tr w:rsidR="00E022BD">
        <w:trPr>
          <w:trHeight w:val="528"/>
        </w:trPr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3"/>
              <w:spacing w:line="192" w:lineRule="auto"/>
              <w:rPr>
                <w:rStyle w:val="NoneA"/>
                <w:b/>
                <w:bCs/>
                <w:color w:val="1F4E79"/>
                <w:u w:color="1F4E79"/>
              </w:rPr>
            </w:pPr>
            <w:r>
              <w:rPr>
                <w:rStyle w:val="NoneB"/>
                <w:b/>
                <w:bCs/>
                <w:color w:val="1F4E79"/>
                <w:u w:color="1F4E79"/>
              </w:rPr>
              <w:t xml:space="preserve">Ernst &amp; </w:t>
            </w:r>
            <w:r>
              <w:rPr>
                <w:rStyle w:val="NoneB"/>
                <w:b/>
                <w:bCs/>
                <w:color w:val="1F4E79"/>
                <w:u w:color="1F4E79"/>
              </w:rPr>
              <w:t>Young LLP, San Antonio, TX</w:t>
            </w:r>
          </w:p>
          <w:p w:rsidR="00E022BD" w:rsidRDefault="00441303">
            <w:pPr>
              <w:pStyle w:val="Heading3"/>
              <w:spacing w:line="192" w:lineRule="auto"/>
            </w:pPr>
            <w:r>
              <w:rPr>
                <w:rStyle w:val="NoneA"/>
                <w:color w:val="1F4E79"/>
                <w:u w:color="1F4E79"/>
              </w:rPr>
              <w:t xml:space="preserve">Advisory Services Manager  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3"/>
              <w:spacing w:line="192" w:lineRule="auto"/>
              <w:jc w:val="right"/>
            </w:pPr>
            <w:r>
              <w:rPr>
                <w:rStyle w:val="NoneA"/>
                <w:b/>
                <w:bCs/>
                <w:color w:val="1F4E79"/>
                <w:u w:color="1F4E79"/>
              </w:rPr>
              <w:t>2017 — 2021</w:t>
            </w:r>
          </w:p>
        </w:tc>
      </w:tr>
      <w:tr w:rsidR="00E022BD">
        <w:trPr>
          <w:trHeight w:val="2354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BodyA"/>
              <w:spacing w:after="120"/>
              <w:jc w:val="both"/>
            </w:pPr>
            <w:r>
              <w:rPr>
                <w:rStyle w:val="NoneB"/>
              </w:rPr>
              <w:lastRenderedPageBreak/>
              <w:t>Steered homeowners and auto Guidewire PC work-streams and delivered impactful presentations of outcomes in bi-weekly Product Owner demonstration meetings. Conducted workshops with clients,</w:t>
            </w:r>
            <w:r>
              <w:rPr>
                <w:rStyle w:val="NoneB"/>
              </w:rPr>
              <w:t xml:space="preserve"> developers, and testers to ensure clarity in specifications, deliverables, and deadlines for seamless </w:t>
            </w:r>
            <w:proofErr w:type="spellStart"/>
            <w:r>
              <w:rPr>
                <w:rStyle w:val="NoneB"/>
              </w:rPr>
              <w:t>SAFe</w:t>
            </w:r>
            <w:proofErr w:type="spellEnd"/>
            <w:r>
              <w:rPr>
                <w:rStyle w:val="NoneB"/>
              </w:rPr>
              <w:t xml:space="preserve"> Agile execution.</w:t>
            </w:r>
          </w:p>
          <w:p w:rsidR="00E022BD" w:rsidRDefault="00441303">
            <w:pPr>
              <w:pStyle w:val="ListParagraph"/>
              <w:numPr>
                <w:ilvl w:val="0"/>
                <w:numId w:val="5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>Provided oversight for the rating work-streams, ensuring alignment with project objectives and timelines.</w:t>
            </w:r>
          </w:p>
          <w:p w:rsidR="00E022BD" w:rsidRDefault="00441303">
            <w:pPr>
              <w:pStyle w:val="ListParagraph"/>
              <w:numPr>
                <w:ilvl w:val="0"/>
                <w:numId w:val="5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 xml:space="preserve">Oversaw work-streams and </w:t>
            </w:r>
            <w:r>
              <w:rPr>
                <w:rStyle w:val="NoneB"/>
                <w:color w:val="000000"/>
                <w:u w:color="000000"/>
              </w:rPr>
              <w:t>acted as the principal point of contact for all stakeholders on a daily basis.</w:t>
            </w:r>
          </w:p>
          <w:p w:rsidR="00E022BD" w:rsidRDefault="00441303">
            <w:pPr>
              <w:pStyle w:val="ListParagraph"/>
              <w:numPr>
                <w:ilvl w:val="0"/>
                <w:numId w:val="5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>Monitored and tracked engagement performance and compliance measures, finding areas for improvement and taking corrective steps as needed to achieve success.</w:t>
            </w:r>
          </w:p>
          <w:p w:rsidR="00E022BD" w:rsidRDefault="00441303">
            <w:pPr>
              <w:pStyle w:val="ListParagraph"/>
              <w:numPr>
                <w:ilvl w:val="0"/>
                <w:numId w:val="5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 xml:space="preserve">Conceptualized and </w:t>
            </w:r>
            <w:r>
              <w:rPr>
                <w:rStyle w:val="NoneB"/>
                <w:color w:val="000000"/>
                <w:u w:color="000000"/>
              </w:rPr>
              <w:t>executed a Guidewire data-driven change request communication process to enable uniform visibility and accountability across work-streams, effectively slashing change requests by 10%. </w:t>
            </w:r>
          </w:p>
        </w:tc>
      </w:tr>
      <w:tr w:rsidR="00E022BD">
        <w:trPr>
          <w:trHeight w:val="528"/>
        </w:trPr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3"/>
              <w:spacing w:line="192" w:lineRule="auto"/>
              <w:rPr>
                <w:rStyle w:val="NoneA"/>
                <w:b/>
                <w:bCs/>
                <w:color w:val="1F4E79"/>
                <w:u w:color="1F4E79"/>
              </w:rPr>
            </w:pPr>
            <w:r>
              <w:rPr>
                <w:rStyle w:val="NoneB"/>
                <w:b/>
                <w:bCs/>
                <w:color w:val="1F4E79"/>
                <w:u w:color="1F4E79"/>
              </w:rPr>
              <w:t>United Services Automobile Association, San Antonio, TX</w:t>
            </w:r>
          </w:p>
          <w:p w:rsidR="00E022BD" w:rsidRDefault="00441303">
            <w:pPr>
              <w:pStyle w:val="Heading3"/>
              <w:spacing w:line="192" w:lineRule="auto"/>
            </w:pPr>
            <w:r>
              <w:rPr>
                <w:rStyle w:val="NoneA"/>
                <w:color w:val="1F4E79"/>
                <w:u w:color="1F4E79"/>
              </w:rPr>
              <w:t xml:space="preserve">P&amp;C </w:t>
            </w:r>
            <w:r>
              <w:rPr>
                <w:rStyle w:val="NoneA"/>
                <w:color w:val="1F4E79"/>
                <w:u w:color="1F4E79"/>
              </w:rPr>
              <w:t>Countrywide Underwriter Lead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3"/>
              <w:spacing w:line="192" w:lineRule="auto"/>
              <w:jc w:val="right"/>
            </w:pPr>
            <w:r>
              <w:rPr>
                <w:rStyle w:val="NoneA"/>
                <w:b/>
                <w:bCs/>
                <w:color w:val="1F4E79"/>
                <w:u w:color="1F4E79"/>
              </w:rPr>
              <w:t>2004 — 2017</w:t>
            </w:r>
          </w:p>
        </w:tc>
      </w:tr>
      <w:tr w:rsidR="00E022BD">
        <w:trPr>
          <w:trHeight w:val="3794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BodyA"/>
              <w:spacing w:after="120"/>
            </w:pPr>
            <w:r>
              <w:rPr>
                <w:rStyle w:val="NoneB"/>
              </w:rPr>
              <w:t xml:space="preserve">Supervised and led a team of underwriters to ensure strict adherence to company and state procedures, in addition to maintaining high standards in documentation management. Oversaw the development of a </w:t>
            </w:r>
            <w:r>
              <w:rPr>
                <w:rStyle w:val="NoneB"/>
              </w:rPr>
              <w:t>comprehensive countrywide P&amp;C Product Management program across multiple business units. Introduced changes in property and casualty business practices based on the comprehensive book of business analysis.</w:t>
            </w:r>
          </w:p>
          <w:p w:rsidR="00E022BD" w:rsidRDefault="00441303">
            <w:pPr>
              <w:pStyle w:val="ListParagraph"/>
              <w:numPr>
                <w:ilvl w:val="0"/>
                <w:numId w:val="6"/>
              </w:numPr>
              <w:spacing w:after="20"/>
            </w:pPr>
            <w:r>
              <w:rPr>
                <w:rStyle w:val="NoneB"/>
              </w:rPr>
              <w:t>Functioned as P&amp;C Underwriting Program Lead on a t</w:t>
            </w:r>
            <w:r>
              <w:rPr>
                <w:rStyle w:val="NoneB"/>
              </w:rPr>
              <w:t>eam that revolutionized the underwriting referral criteria for nationwide property and auto policies using a general linear model, which generated a $24M return on investment over three years.</w:t>
            </w:r>
          </w:p>
          <w:p w:rsidR="00E022BD" w:rsidRDefault="00441303">
            <w:pPr>
              <w:pStyle w:val="ListParagraph"/>
              <w:numPr>
                <w:ilvl w:val="0"/>
                <w:numId w:val="6"/>
              </w:numPr>
              <w:spacing w:after="20"/>
            </w:pPr>
            <w:r>
              <w:rPr>
                <w:rStyle w:val="NoneB"/>
              </w:rPr>
              <w:t>Orchestrated a P&amp;C cross-functional team as Program Manager, fo</w:t>
            </w:r>
            <w:r>
              <w:rPr>
                <w:rStyle w:val="NoneB"/>
              </w:rPr>
              <w:t>cused on investigating and enhancing the digital loss mitigation property (homeowners) guidance approach. This effort led to a 42% increase in digital viewership.</w:t>
            </w:r>
          </w:p>
          <w:p w:rsidR="00E022BD" w:rsidRDefault="00441303">
            <w:pPr>
              <w:pStyle w:val="ListParagraph"/>
              <w:numPr>
                <w:ilvl w:val="0"/>
                <w:numId w:val="6"/>
              </w:numPr>
              <w:spacing w:after="20"/>
            </w:pPr>
            <w:r>
              <w:rPr>
                <w:rStyle w:val="NoneB"/>
              </w:rPr>
              <w:t xml:space="preserve">Designed and delivered comprehensive training for Claims, Actuary, Underwriting, and Product </w:t>
            </w:r>
            <w:r>
              <w:rPr>
                <w:rStyle w:val="NoneB"/>
              </w:rPr>
              <w:t>Management teams on the FORTIFIED property (homeowners) product, leading to the successful training of 200+ employees and a high-performance work culture.</w:t>
            </w:r>
          </w:p>
          <w:p w:rsidR="00E022BD" w:rsidRDefault="00441303">
            <w:pPr>
              <w:pStyle w:val="ListParagraph"/>
              <w:numPr>
                <w:ilvl w:val="0"/>
                <w:numId w:val="7"/>
              </w:numPr>
              <w:spacing w:after="20"/>
              <w:rPr>
                <w:color w:val="000000"/>
                <w:u w:color="000000"/>
              </w:rPr>
            </w:pPr>
            <w:r>
              <w:rPr>
                <w:rStyle w:val="NoneB"/>
                <w:color w:val="000000"/>
                <w:u w:color="000000"/>
              </w:rPr>
              <w:t>Championed a national advisory communication campaign in support of Returning Warriors as the Project</w:t>
            </w:r>
            <w:r>
              <w:rPr>
                <w:rStyle w:val="NoneB"/>
                <w:color w:val="000000"/>
                <w:u w:color="000000"/>
              </w:rPr>
              <w:t xml:space="preserve"> Manager, gaining support from the US military and academia.</w:t>
            </w:r>
          </w:p>
        </w:tc>
      </w:tr>
      <w:tr w:rsidR="00E022BD">
        <w:trPr>
          <w:trHeight w:val="494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2BD" w:rsidRDefault="00441303">
            <w:pPr>
              <w:pStyle w:val="BodyA"/>
            </w:pPr>
            <w:proofErr w:type="gramStart"/>
            <w:r>
              <w:rPr>
                <w:rStyle w:val="NoneA"/>
                <w:i/>
                <w:iCs/>
                <w:color w:val="1F4E79"/>
                <w:u w:color="1F4E79"/>
              </w:rPr>
              <w:t>Additionally</w:t>
            </w:r>
            <w:proofErr w:type="gramEnd"/>
            <w:r>
              <w:rPr>
                <w:rStyle w:val="NoneA"/>
                <w:i/>
                <w:iCs/>
                <w:color w:val="1F4E79"/>
                <w:u w:color="1F4E79"/>
              </w:rPr>
              <w:t xml:space="preserve"> served as P&amp;C Underwriting Operations Manager with California State Automobile Association / Agency Sales Manager and P&amp;C Underwriter with Allstate Insurance Company.</w:t>
            </w:r>
          </w:p>
        </w:tc>
      </w:tr>
      <w:tr w:rsidR="00E022BD">
        <w:trPr>
          <w:trHeight w:val="45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2"/>
            </w:pPr>
            <w:r>
              <w:rPr>
                <w:rStyle w:val="NoneA"/>
                <w:color w:val="1F4E79"/>
                <w:u w:color="1F4E79"/>
              </w:rPr>
              <w:t xml:space="preserve">Volunteer </w:t>
            </w:r>
            <w:r>
              <w:rPr>
                <w:rStyle w:val="NoneA"/>
                <w:color w:val="1F4E79"/>
                <w:u w:color="1F4E79"/>
              </w:rPr>
              <w:t>Experience</w:t>
            </w:r>
          </w:p>
        </w:tc>
      </w:tr>
      <w:tr w:rsidR="00E022BD">
        <w:trPr>
          <w:trHeight w:val="310"/>
        </w:trPr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3"/>
              <w:spacing w:line="192" w:lineRule="auto"/>
            </w:pPr>
            <w:r>
              <w:rPr>
                <w:rStyle w:val="NoneA"/>
                <w:color w:val="1F4E79"/>
                <w:u w:color="1F4E79"/>
              </w:rPr>
              <w:t>Catholic Youth Organization (CYO) Coach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E022BD"/>
        </w:tc>
      </w:tr>
      <w:tr w:rsidR="00E022BD">
        <w:trPr>
          <w:trHeight w:val="734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Style w:val="NoneB"/>
              </w:rPr>
              <w:t>Facilitates the learning of fundamentals and enhances teamwork for young individuals.</w:t>
            </w:r>
          </w:p>
          <w:p w:rsidR="00E022BD" w:rsidRDefault="00441303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Style w:val="NoneB"/>
              </w:rPr>
              <w:t>Enables the refinement of leadership, communication, and problem-solving skills through active engagement. </w:t>
            </w:r>
          </w:p>
        </w:tc>
      </w:tr>
      <w:tr w:rsidR="00E022BD">
        <w:trPr>
          <w:trHeight w:val="310"/>
        </w:trPr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3"/>
              <w:spacing w:line="192" w:lineRule="auto"/>
            </w:pPr>
            <w:r>
              <w:rPr>
                <w:rStyle w:val="NoneA"/>
                <w:color w:val="1F4E79"/>
                <w:u w:color="1F4E79"/>
              </w:rPr>
              <w:t xml:space="preserve">Annual </w:t>
            </w:r>
            <w:r>
              <w:rPr>
                <w:rStyle w:val="NoneA"/>
                <w:color w:val="1F4E79"/>
                <w:u w:color="1F4E79"/>
              </w:rPr>
              <w:t>5K Thanksgiving Day Run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E022BD"/>
        </w:tc>
      </w:tr>
      <w:tr w:rsidR="00E022BD">
        <w:trPr>
          <w:trHeight w:val="734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rPr>
                <w:rStyle w:val="NoneB"/>
              </w:rPr>
              <w:t>Unifies the community, reinforcing a collective sense of togetherness and cohesion.</w:t>
            </w:r>
          </w:p>
          <w:p w:rsidR="00E022BD" w:rsidRDefault="00441303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rPr>
                <w:rStyle w:val="NoneB"/>
              </w:rPr>
              <w:t>Cultivates opportunities for interaction with individuals from diverse backgrounds and contributes to community well-being.</w:t>
            </w:r>
          </w:p>
        </w:tc>
      </w:tr>
      <w:tr w:rsidR="00E022BD">
        <w:trPr>
          <w:trHeight w:val="1259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2BD" w:rsidRDefault="00441303">
            <w:pPr>
              <w:pStyle w:val="Heading2"/>
              <w:spacing w:line="336" w:lineRule="auto"/>
              <w:rPr>
                <w:rStyle w:val="NoneA"/>
                <w:color w:val="1F4E79"/>
                <w:u w:color="1F4E79"/>
              </w:rPr>
            </w:pPr>
            <w:r>
              <w:rPr>
                <w:rStyle w:val="NoneB"/>
                <w:color w:val="1F4E79"/>
                <w:u w:color="1F4E79"/>
              </w:rPr>
              <w:t>Education</w:t>
            </w:r>
          </w:p>
          <w:p w:rsidR="00E022BD" w:rsidRDefault="00441303">
            <w:pPr>
              <w:pStyle w:val="Heading3"/>
              <w:spacing w:line="192" w:lineRule="auto"/>
              <w:rPr>
                <w:rStyle w:val="NoneA"/>
                <w:color w:val="1F4E79"/>
                <w:u w:color="1F4E79"/>
              </w:rPr>
            </w:pPr>
            <w:r>
              <w:rPr>
                <w:rStyle w:val="NoneB"/>
                <w:color w:val="1F4E79"/>
                <w:u w:color="1F4E79"/>
              </w:rPr>
              <w:t xml:space="preserve">Executive Master of Arts in Public Administration </w:t>
            </w:r>
            <w:r>
              <w:rPr>
                <w:rStyle w:val="NoneA"/>
                <w:color w:val="282828"/>
                <w:u w:color="282828"/>
              </w:rPr>
              <w:t>| Golden Gate University, San Francisco, CA</w:t>
            </w:r>
          </w:p>
          <w:p w:rsidR="00E022BD" w:rsidRDefault="00441303">
            <w:pPr>
              <w:pStyle w:val="Heading3"/>
              <w:spacing w:before="120" w:line="192" w:lineRule="auto"/>
            </w:pPr>
            <w:r>
              <w:rPr>
                <w:rStyle w:val="NoneA"/>
                <w:color w:val="1F4E79"/>
                <w:u w:color="1F4E79"/>
              </w:rPr>
              <w:t xml:space="preserve">Bachelor of Arts in Sociology </w:t>
            </w:r>
            <w:r>
              <w:rPr>
                <w:rStyle w:val="NoneA"/>
                <w:color w:val="282828"/>
                <w:u w:color="282828"/>
              </w:rPr>
              <w:t>| San Francisco State University, San Francisco, CA</w:t>
            </w:r>
            <w:r>
              <w:rPr>
                <w:rStyle w:val="NoneB"/>
              </w:rPr>
              <w:t xml:space="preserve"> </w:t>
            </w:r>
          </w:p>
        </w:tc>
      </w:tr>
      <w:tr w:rsidR="00E022BD">
        <w:trPr>
          <w:trHeight w:val="45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Heading2"/>
            </w:pPr>
            <w:r>
              <w:rPr>
                <w:rStyle w:val="NoneA"/>
                <w:color w:val="1F4E79"/>
                <w:u w:color="1F4E79"/>
              </w:rPr>
              <w:t>Licenses &amp; Certifications</w:t>
            </w:r>
          </w:p>
        </w:tc>
      </w:tr>
      <w:tr w:rsidR="00E022BD">
        <w:trPr>
          <w:trHeight w:val="763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2BD" w:rsidRDefault="00441303">
            <w:pPr>
              <w:pStyle w:val="BodyA"/>
              <w:spacing w:after="0"/>
              <w:rPr>
                <w:rStyle w:val="NoneA"/>
              </w:rPr>
            </w:pPr>
            <w:r>
              <w:rPr>
                <w:rStyle w:val="NoneB"/>
              </w:rPr>
              <w:t xml:space="preserve">Certificate Program: Project Management, Golden </w:t>
            </w:r>
            <w:r>
              <w:rPr>
                <w:rStyle w:val="NoneB"/>
              </w:rPr>
              <w:t>Gate University, San Francisco, CA</w:t>
            </w:r>
          </w:p>
          <w:p w:rsidR="00E022BD" w:rsidRDefault="00441303">
            <w:pPr>
              <w:pStyle w:val="BodyA"/>
              <w:spacing w:after="0"/>
              <w:rPr>
                <w:rStyle w:val="NoneA"/>
              </w:rPr>
            </w:pPr>
            <w:r>
              <w:rPr>
                <w:rStyle w:val="NoneB"/>
              </w:rPr>
              <w:t>Certification: Lean Six Sigma Green Belt</w:t>
            </w:r>
          </w:p>
          <w:p w:rsidR="00E022BD" w:rsidRDefault="00441303">
            <w:pPr>
              <w:pStyle w:val="BodyA"/>
              <w:spacing w:after="0"/>
            </w:pPr>
            <w:r>
              <w:rPr>
                <w:rStyle w:val="NoneB"/>
              </w:rPr>
              <w:t xml:space="preserve">Associate Certification - </w:t>
            </w:r>
            <w:proofErr w:type="spellStart"/>
            <w:r>
              <w:rPr>
                <w:rStyle w:val="NoneB"/>
              </w:rPr>
              <w:t>InsuranceSuite</w:t>
            </w:r>
            <w:proofErr w:type="spellEnd"/>
            <w:r>
              <w:rPr>
                <w:rStyle w:val="NoneB"/>
              </w:rPr>
              <w:t xml:space="preserve"> 10.0 Analyst</w:t>
            </w:r>
          </w:p>
        </w:tc>
      </w:tr>
      <w:tr w:rsidR="00E022BD">
        <w:trPr>
          <w:trHeight w:val="946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2BD" w:rsidRDefault="00441303">
            <w:pPr>
              <w:pStyle w:val="Heading2"/>
              <w:spacing w:line="336" w:lineRule="auto"/>
              <w:rPr>
                <w:rStyle w:val="NoneA"/>
                <w:color w:val="1F4E79"/>
                <w:u w:color="1F4E79"/>
              </w:rPr>
            </w:pPr>
            <w:r>
              <w:rPr>
                <w:rStyle w:val="NoneB"/>
                <w:color w:val="1F4E79"/>
                <w:u w:color="1F4E79"/>
              </w:rPr>
              <w:lastRenderedPageBreak/>
              <w:t>Technical Proficiencies</w:t>
            </w:r>
          </w:p>
          <w:p w:rsidR="00E022BD" w:rsidRDefault="00441303">
            <w:pPr>
              <w:pStyle w:val="BodyA"/>
            </w:pPr>
            <w:proofErr w:type="spellStart"/>
            <w:r>
              <w:rPr>
                <w:rStyle w:val="NoneB"/>
              </w:rPr>
              <w:t>SAFe</w:t>
            </w:r>
            <w:proofErr w:type="spellEnd"/>
            <w:r>
              <w:rPr>
                <w:rStyle w:val="NoneB"/>
              </w:rPr>
              <w:t xml:space="preserve"> Agile | Jira | Tableau | Microsoft Office Suite (Word, Excel, PowerPoint) </w:t>
            </w:r>
          </w:p>
        </w:tc>
      </w:tr>
    </w:tbl>
    <w:p w:rsidR="00E022BD" w:rsidRDefault="00E022BD">
      <w:pPr>
        <w:pStyle w:val="Body"/>
        <w:widowControl w:val="0"/>
        <w:ind w:left="1080" w:hanging="1080"/>
      </w:pPr>
    </w:p>
    <w:sectPr w:rsidR="00E022BD">
      <w:headerReference w:type="default" r:id="rId8"/>
      <w:footerReference w:type="default" r:id="rId9"/>
      <w:pgSz w:w="12240" w:h="15840"/>
      <w:pgMar w:top="453" w:right="566" w:bottom="453" w:left="566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03" w:rsidRDefault="00441303">
      <w:r>
        <w:separator/>
      </w:r>
    </w:p>
  </w:endnote>
  <w:endnote w:type="continuationSeparator" w:id="0">
    <w:p w:rsidR="00441303" w:rsidRDefault="0044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2BD" w:rsidRDefault="00441303">
    <w:pPr>
      <w:pStyle w:val="PageNumber1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|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03" w:rsidRDefault="00441303">
      <w:r>
        <w:separator/>
      </w:r>
    </w:p>
  </w:footnote>
  <w:footnote w:type="continuationSeparator" w:id="0">
    <w:p w:rsidR="00441303" w:rsidRDefault="0044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2BD" w:rsidRDefault="00E022B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22E6"/>
    <w:multiLevelType w:val="hybridMultilevel"/>
    <w:tmpl w:val="074E7DE8"/>
    <w:lvl w:ilvl="0" w:tplc="B69C18AA">
      <w:start w:val="1"/>
      <w:numFmt w:val="bullet"/>
      <w:lvlText w:val="●"/>
      <w:lvlJc w:val="left"/>
      <w:pPr>
        <w:ind w:left="4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2C9976">
      <w:start w:val="1"/>
      <w:numFmt w:val="bullet"/>
      <w:lvlText w:val="●"/>
      <w:lvlJc w:val="left"/>
      <w:pPr>
        <w:ind w:left="8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52955A">
      <w:start w:val="1"/>
      <w:numFmt w:val="bullet"/>
      <w:lvlText w:val="●"/>
      <w:lvlJc w:val="left"/>
      <w:pPr>
        <w:ind w:left="15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CA1448">
      <w:start w:val="1"/>
      <w:numFmt w:val="bullet"/>
      <w:lvlText w:val="●"/>
      <w:lvlJc w:val="left"/>
      <w:pPr>
        <w:ind w:left="21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02E7B2">
      <w:start w:val="1"/>
      <w:numFmt w:val="bullet"/>
      <w:lvlText w:val="●"/>
      <w:lvlJc w:val="left"/>
      <w:pPr>
        <w:ind w:left="284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E3FE6">
      <w:start w:val="1"/>
      <w:numFmt w:val="bullet"/>
      <w:lvlText w:val="●"/>
      <w:lvlJc w:val="left"/>
      <w:pPr>
        <w:ind w:left="350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F6F36E">
      <w:start w:val="1"/>
      <w:numFmt w:val="bullet"/>
      <w:lvlText w:val="●"/>
      <w:lvlJc w:val="left"/>
      <w:pPr>
        <w:ind w:left="41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3EDF0A">
      <w:start w:val="1"/>
      <w:numFmt w:val="bullet"/>
      <w:lvlText w:val="●"/>
      <w:lvlJc w:val="left"/>
      <w:pPr>
        <w:ind w:left="48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5012A6">
      <w:start w:val="1"/>
      <w:numFmt w:val="bullet"/>
      <w:lvlText w:val="●"/>
      <w:lvlJc w:val="left"/>
      <w:pPr>
        <w:ind w:left="54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2D6DAB"/>
    <w:multiLevelType w:val="hybridMultilevel"/>
    <w:tmpl w:val="20C69006"/>
    <w:lvl w:ilvl="0" w:tplc="A26EBCF0">
      <w:start w:val="1"/>
      <w:numFmt w:val="bullet"/>
      <w:lvlText w:val="●"/>
      <w:lvlJc w:val="left"/>
      <w:pPr>
        <w:ind w:left="4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F6516A">
      <w:start w:val="1"/>
      <w:numFmt w:val="bullet"/>
      <w:lvlText w:val="●"/>
      <w:lvlJc w:val="left"/>
      <w:pPr>
        <w:ind w:left="8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647CAA">
      <w:start w:val="1"/>
      <w:numFmt w:val="bullet"/>
      <w:lvlText w:val="●"/>
      <w:lvlJc w:val="left"/>
      <w:pPr>
        <w:ind w:left="15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2C8210">
      <w:start w:val="1"/>
      <w:numFmt w:val="bullet"/>
      <w:lvlText w:val="●"/>
      <w:lvlJc w:val="left"/>
      <w:pPr>
        <w:ind w:left="21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2E7372">
      <w:start w:val="1"/>
      <w:numFmt w:val="bullet"/>
      <w:lvlText w:val="●"/>
      <w:lvlJc w:val="left"/>
      <w:pPr>
        <w:ind w:left="284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44CF6">
      <w:start w:val="1"/>
      <w:numFmt w:val="bullet"/>
      <w:lvlText w:val="●"/>
      <w:lvlJc w:val="left"/>
      <w:pPr>
        <w:ind w:left="350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C49950">
      <w:start w:val="1"/>
      <w:numFmt w:val="bullet"/>
      <w:lvlText w:val="●"/>
      <w:lvlJc w:val="left"/>
      <w:pPr>
        <w:ind w:left="41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92167E">
      <w:start w:val="1"/>
      <w:numFmt w:val="bullet"/>
      <w:lvlText w:val="●"/>
      <w:lvlJc w:val="left"/>
      <w:pPr>
        <w:ind w:left="48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E757E">
      <w:start w:val="1"/>
      <w:numFmt w:val="bullet"/>
      <w:lvlText w:val="●"/>
      <w:lvlJc w:val="left"/>
      <w:pPr>
        <w:ind w:left="54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A02943"/>
    <w:multiLevelType w:val="hybridMultilevel"/>
    <w:tmpl w:val="618EF700"/>
    <w:lvl w:ilvl="0" w:tplc="3FBEB192">
      <w:start w:val="1"/>
      <w:numFmt w:val="bullet"/>
      <w:lvlText w:val="●"/>
      <w:lvlJc w:val="left"/>
      <w:pPr>
        <w:ind w:left="4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2F056">
      <w:start w:val="1"/>
      <w:numFmt w:val="bullet"/>
      <w:lvlText w:val="●"/>
      <w:lvlJc w:val="left"/>
      <w:pPr>
        <w:ind w:left="8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C8EC2">
      <w:start w:val="1"/>
      <w:numFmt w:val="bullet"/>
      <w:lvlText w:val="●"/>
      <w:lvlJc w:val="left"/>
      <w:pPr>
        <w:ind w:left="15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B23EC0">
      <w:start w:val="1"/>
      <w:numFmt w:val="bullet"/>
      <w:lvlText w:val="●"/>
      <w:lvlJc w:val="left"/>
      <w:pPr>
        <w:ind w:left="21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CDEC4">
      <w:start w:val="1"/>
      <w:numFmt w:val="bullet"/>
      <w:lvlText w:val="●"/>
      <w:lvlJc w:val="left"/>
      <w:pPr>
        <w:ind w:left="284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C4F82">
      <w:start w:val="1"/>
      <w:numFmt w:val="bullet"/>
      <w:lvlText w:val="●"/>
      <w:lvlJc w:val="left"/>
      <w:pPr>
        <w:ind w:left="350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38F168">
      <w:start w:val="1"/>
      <w:numFmt w:val="bullet"/>
      <w:lvlText w:val="●"/>
      <w:lvlJc w:val="left"/>
      <w:pPr>
        <w:ind w:left="41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09EFC">
      <w:start w:val="1"/>
      <w:numFmt w:val="bullet"/>
      <w:lvlText w:val="●"/>
      <w:lvlJc w:val="left"/>
      <w:pPr>
        <w:ind w:left="48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6EA9B0">
      <w:start w:val="1"/>
      <w:numFmt w:val="bullet"/>
      <w:lvlText w:val="●"/>
      <w:lvlJc w:val="left"/>
      <w:pPr>
        <w:ind w:left="54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D72C0C"/>
    <w:multiLevelType w:val="hybridMultilevel"/>
    <w:tmpl w:val="23A00B1C"/>
    <w:lvl w:ilvl="0" w:tplc="A71EA75A">
      <w:start w:val="1"/>
      <w:numFmt w:val="bullet"/>
      <w:lvlText w:val="•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4FF90">
      <w:start w:val="1"/>
      <w:numFmt w:val="bullet"/>
      <w:lvlText w:val="o"/>
      <w:lvlJc w:val="left"/>
      <w:pPr>
        <w:ind w:left="89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A31A8">
      <w:start w:val="1"/>
      <w:numFmt w:val="bullet"/>
      <w:lvlText w:val="▪"/>
      <w:lvlJc w:val="left"/>
      <w:pPr>
        <w:ind w:left="161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2863EA">
      <w:start w:val="1"/>
      <w:numFmt w:val="bullet"/>
      <w:lvlText w:val="•"/>
      <w:lvlJc w:val="left"/>
      <w:pPr>
        <w:ind w:left="233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84710">
      <w:start w:val="1"/>
      <w:numFmt w:val="bullet"/>
      <w:lvlText w:val="o"/>
      <w:lvlJc w:val="left"/>
      <w:pPr>
        <w:ind w:left="305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4221CC">
      <w:start w:val="1"/>
      <w:numFmt w:val="bullet"/>
      <w:lvlText w:val="▪"/>
      <w:lvlJc w:val="left"/>
      <w:pPr>
        <w:ind w:left="377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8315A">
      <w:start w:val="1"/>
      <w:numFmt w:val="bullet"/>
      <w:lvlText w:val="•"/>
      <w:lvlJc w:val="left"/>
      <w:pPr>
        <w:ind w:left="449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4A286">
      <w:start w:val="1"/>
      <w:numFmt w:val="bullet"/>
      <w:lvlText w:val="o"/>
      <w:lvlJc w:val="left"/>
      <w:pPr>
        <w:ind w:left="521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69434">
      <w:start w:val="1"/>
      <w:numFmt w:val="bullet"/>
      <w:lvlText w:val="▪"/>
      <w:lvlJc w:val="left"/>
      <w:pPr>
        <w:ind w:left="593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072F5E"/>
    <w:multiLevelType w:val="hybridMultilevel"/>
    <w:tmpl w:val="C2083D42"/>
    <w:lvl w:ilvl="0" w:tplc="5956B47A">
      <w:start w:val="1"/>
      <w:numFmt w:val="bullet"/>
      <w:lvlText w:val="●"/>
      <w:lvlJc w:val="left"/>
      <w:pPr>
        <w:ind w:left="4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C29CB0">
      <w:start w:val="1"/>
      <w:numFmt w:val="bullet"/>
      <w:lvlText w:val="●"/>
      <w:lvlJc w:val="left"/>
      <w:pPr>
        <w:ind w:left="8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D01C4E">
      <w:start w:val="1"/>
      <w:numFmt w:val="bullet"/>
      <w:lvlText w:val="●"/>
      <w:lvlJc w:val="left"/>
      <w:pPr>
        <w:ind w:left="15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466F34">
      <w:start w:val="1"/>
      <w:numFmt w:val="bullet"/>
      <w:lvlText w:val="●"/>
      <w:lvlJc w:val="left"/>
      <w:pPr>
        <w:ind w:left="21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24B9B2">
      <w:start w:val="1"/>
      <w:numFmt w:val="bullet"/>
      <w:lvlText w:val="●"/>
      <w:lvlJc w:val="left"/>
      <w:pPr>
        <w:ind w:left="284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B4072A">
      <w:start w:val="1"/>
      <w:numFmt w:val="bullet"/>
      <w:lvlText w:val="●"/>
      <w:lvlJc w:val="left"/>
      <w:pPr>
        <w:ind w:left="350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1C8910">
      <w:start w:val="1"/>
      <w:numFmt w:val="bullet"/>
      <w:lvlText w:val="●"/>
      <w:lvlJc w:val="left"/>
      <w:pPr>
        <w:ind w:left="41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F85E3A">
      <w:start w:val="1"/>
      <w:numFmt w:val="bullet"/>
      <w:lvlText w:val="●"/>
      <w:lvlJc w:val="left"/>
      <w:pPr>
        <w:ind w:left="48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7C96E6">
      <w:start w:val="1"/>
      <w:numFmt w:val="bullet"/>
      <w:lvlText w:val="●"/>
      <w:lvlJc w:val="left"/>
      <w:pPr>
        <w:ind w:left="54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3810E3"/>
    <w:multiLevelType w:val="hybridMultilevel"/>
    <w:tmpl w:val="FC0877C6"/>
    <w:lvl w:ilvl="0" w:tplc="4F04BE52">
      <w:start w:val="1"/>
      <w:numFmt w:val="bullet"/>
      <w:lvlText w:val="●"/>
      <w:lvlJc w:val="left"/>
      <w:pPr>
        <w:ind w:left="4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E6BE2">
      <w:start w:val="1"/>
      <w:numFmt w:val="bullet"/>
      <w:lvlText w:val="●"/>
      <w:lvlJc w:val="left"/>
      <w:pPr>
        <w:ind w:left="8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CE000">
      <w:start w:val="1"/>
      <w:numFmt w:val="bullet"/>
      <w:lvlText w:val="●"/>
      <w:lvlJc w:val="left"/>
      <w:pPr>
        <w:ind w:left="15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043520">
      <w:start w:val="1"/>
      <w:numFmt w:val="bullet"/>
      <w:lvlText w:val="●"/>
      <w:lvlJc w:val="left"/>
      <w:pPr>
        <w:ind w:left="21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EA95BC">
      <w:start w:val="1"/>
      <w:numFmt w:val="bullet"/>
      <w:lvlText w:val="●"/>
      <w:lvlJc w:val="left"/>
      <w:pPr>
        <w:ind w:left="284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E259DC">
      <w:start w:val="1"/>
      <w:numFmt w:val="bullet"/>
      <w:lvlText w:val="●"/>
      <w:lvlJc w:val="left"/>
      <w:pPr>
        <w:ind w:left="350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446EE">
      <w:start w:val="1"/>
      <w:numFmt w:val="bullet"/>
      <w:lvlText w:val="●"/>
      <w:lvlJc w:val="left"/>
      <w:pPr>
        <w:ind w:left="416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AA83A">
      <w:start w:val="1"/>
      <w:numFmt w:val="bullet"/>
      <w:lvlText w:val="●"/>
      <w:lvlJc w:val="left"/>
      <w:pPr>
        <w:ind w:left="482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BE962C">
      <w:start w:val="1"/>
      <w:numFmt w:val="bullet"/>
      <w:lvlText w:val="●"/>
      <w:lvlJc w:val="left"/>
      <w:pPr>
        <w:ind w:left="5480" w:hanging="2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BF1503"/>
    <w:multiLevelType w:val="hybridMultilevel"/>
    <w:tmpl w:val="A58200AC"/>
    <w:lvl w:ilvl="0" w:tplc="29F06688">
      <w:start w:val="1"/>
      <w:numFmt w:val="bullet"/>
      <w:lvlText w:val="•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32F942">
      <w:start w:val="1"/>
      <w:numFmt w:val="bullet"/>
      <w:lvlText w:val="o"/>
      <w:lvlJc w:val="left"/>
      <w:pPr>
        <w:ind w:left="89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EFCA0">
      <w:start w:val="1"/>
      <w:numFmt w:val="bullet"/>
      <w:lvlText w:val="▪"/>
      <w:lvlJc w:val="left"/>
      <w:pPr>
        <w:ind w:left="161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A8C14">
      <w:start w:val="1"/>
      <w:numFmt w:val="bullet"/>
      <w:lvlText w:val="•"/>
      <w:lvlJc w:val="left"/>
      <w:pPr>
        <w:ind w:left="233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A709A">
      <w:start w:val="1"/>
      <w:numFmt w:val="bullet"/>
      <w:lvlText w:val="o"/>
      <w:lvlJc w:val="left"/>
      <w:pPr>
        <w:ind w:left="305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61EA6">
      <w:start w:val="1"/>
      <w:numFmt w:val="bullet"/>
      <w:lvlText w:val="▪"/>
      <w:lvlJc w:val="left"/>
      <w:pPr>
        <w:ind w:left="377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4CED0">
      <w:start w:val="1"/>
      <w:numFmt w:val="bullet"/>
      <w:lvlText w:val="•"/>
      <w:lvlJc w:val="left"/>
      <w:pPr>
        <w:ind w:left="449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E8423E">
      <w:start w:val="1"/>
      <w:numFmt w:val="bullet"/>
      <w:lvlText w:val="o"/>
      <w:lvlJc w:val="left"/>
      <w:pPr>
        <w:ind w:left="521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8D38E">
      <w:start w:val="1"/>
      <w:numFmt w:val="bullet"/>
      <w:lvlText w:val="▪"/>
      <w:lvlJc w:val="left"/>
      <w:pPr>
        <w:ind w:left="593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754425"/>
    <w:multiLevelType w:val="hybridMultilevel"/>
    <w:tmpl w:val="F1BEC102"/>
    <w:lvl w:ilvl="0" w:tplc="175A151C">
      <w:start w:val="1"/>
      <w:numFmt w:val="bullet"/>
      <w:lvlText w:val="•"/>
      <w:lvlJc w:val="left"/>
      <w:pPr>
        <w:ind w:left="17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D82D94">
      <w:start w:val="1"/>
      <w:numFmt w:val="bullet"/>
      <w:lvlText w:val="o"/>
      <w:lvlJc w:val="left"/>
      <w:pPr>
        <w:ind w:left="89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E2FEA">
      <w:start w:val="1"/>
      <w:numFmt w:val="bullet"/>
      <w:lvlText w:val="▪"/>
      <w:lvlJc w:val="left"/>
      <w:pPr>
        <w:ind w:left="161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BA1B32">
      <w:start w:val="1"/>
      <w:numFmt w:val="bullet"/>
      <w:lvlText w:val="•"/>
      <w:lvlJc w:val="left"/>
      <w:pPr>
        <w:ind w:left="233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AA8E08">
      <w:start w:val="1"/>
      <w:numFmt w:val="bullet"/>
      <w:lvlText w:val="o"/>
      <w:lvlJc w:val="left"/>
      <w:pPr>
        <w:ind w:left="305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CC6E3A">
      <w:start w:val="1"/>
      <w:numFmt w:val="bullet"/>
      <w:lvlText w:val="▪"/>
      <w:lvlJc w:val="left"/>
      <w:pPr>
        <w:ind w:left="377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F8669A">
      <w:start w:val="1"/>
      <w:numFmt w:val="bullet"/>
      <w:lvlText w:val="•"/>
      <w:lvlJc w:val="left"/>
      <w:pPr>
        <w:ind w:left="4490" w:hanging="1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6123C">
      <w:start w:val="1"/>
      <w:numFmt w:val="bullet"/>
      <w:lvlText w:val="o"/>
      <w:lvlJc w:val="left"/>
      <w:pPr>
        <w:ind w:left="521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2AF32">
      <w:start w:val="1"/>
      <w:numFmt w:val="bullet"/>
      <w:lvlText w:val="▪"/>
      <w:lvlJc w:val="left"/>
      <w:pPr>
        <w:ind w:left="593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lvl w:ilvl="0" w:tplc="4F04BE52">
        <w:start w:val="1"/>
        <w:numFmt w:val="bullet"/>
        <w:lvlText w:val="●"/>
        <w:lvlJc w:val="left"/>
        <w:pPr>
          <w:ind w:left="42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1E6BE2">
        <w:start w:val="1"/>
        <w:numFmt w:val="bullet"/>
        <w:lvlText w:val="●"/>
        <w:lvlJc w:val="left"/>
        <w:pPr>
          <w:ind w:left="86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ACE000">
        <w:start w:val="1"/>
        <w:numFmt w:val="bullet"/>
        <w:lvlText w:val="●"/>
        <w:lvlJc w:val="left"/>
        <w:pPr>
          <w:ind w:left="152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043520">
        <w:start w:val="1"/>
        <w:numFmt w:val="bullet"/>
        <w:lvlText w:val="●"/>
        <w:lvlJc w:val="left"/>
        <w:pPr>
          <w:ind w:left="218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EA95BC">
        <w:start w:val="1"/>
        <w:numFmt w:val="bullet"/>
        <w:lvlText w:val="●"/>
        <w:lvlJc w:val="left"/>
        <w:pPr>
          <w:ind w:left="284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E259DC">
        <w:start w:val="1"/>
        <w:numFmt w:val="bullet"/>
        <w:lvlText w:val="●"/>
        <w:lvlJc w:val="left"/>
        <w:pPr>
          <w:ind w:left="350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7446EE">
        <w:start w:val="1"/>
        <w:numFmt w:val="bullet"/>
        <w:lvlText w:val="●"/>
        <w:lvlJc w:val="left"/>
        <w:pPr>
          <w:ind w:left="416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3AA83A">
        <w:start w:val="1"/>
        <w:numFmt w:val="bullet"/>
        <w:lvlText w:val="●"/>
        <w:lvlJc w:val="left"/>
        <w:pPr>
          <w:ind w:left="482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BE962C">
        <w:start w:val="1"/>
        <w:numFmt w:val="bullet"/>
        <w:lvlText w:val="●"/>
        <w:lvlJc w:val="left"/>
        <w:pPr>
          <w:ind w:left="5480" w:hanging="2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BD"/>
    <w:rsid w:val="00441303"/>
    <w:rsid w:val="00E022BD"/>
    <w:rsid w:val="00E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7A6A7-6D3D-4A7B-9E07-5B0E0425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spacing w:after="80"/>
      <w:outlineLvl w:val="1"/>
    </w:pPr>
    <w:rPr>
      <w:rFonts w:ascii="Helvetica Neue" w:hAnsi="Helvetica Neue" w:cs="Arial Unicode MS"/>
      <w:color w:val="3C78D8"/>
      <w:sz w:val="36"/>
      <w:szCs w:val="36"/>
      <w:u w:color="3C78D8"/>
      <w:lang w:val="en-US"/>
    </w:rPr>
  </w:style>
  <w:style w:type="paragraph" w:styleId="Heading3">
    <w:name w:val="heading 3"/>
    <w:next w:val="BodyA"/>
    <w:uiPriority w:val="9"/>
    <w:unhideWhenUsed/>
    <w:qFormat/>
    <w:pPr>
      <w:spacing w:after="80"/>
      <w:outlineLvl w:val="2"/>
    </w:pPr>
    <w:rPr>
      <w:rFonts w:ascii="Helvetica Neue" w:eastAsia="Helvetica Neue" w:hAnsi="Helvetica Neue" w:cs="Helvetica Neue"/>
      <w:color w:val="3C78D8"/>
      <w:u w:color="3C78D8"/>
    </w:rPr>
  </w:style>
  <w:style w:type="paragraph" w:styleId="Heading4">
    <w:name w:val="heading 4"/>
    <w:next w:val="BodyA"/>
    <w:uiPriority w:val="9"/>
    <w:unhideWhenUsed/>
    <w:qFormat/>
    <w:pPr>
      <w:spacing w:after="85"/>
      <w:outlineLvl w:val="3"/>
    </w:pPr>
    <w:rPr>
      <w:rFonts w:ascii="Helvetica Neue" w:hAnsi="Helvetica Neue" w:cs="Arial Unicode MS"/>
      <w:color w:val="282828"/>
      <w:sz w:val="24"/>
      <w:szCs w:val="24"/>
      <w:u w:color="2828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geNumber1">
    <w:name w:val="Page Number1"/>
    <w:pPr>
      <w:spacing w:after="80"/>
    </w:pPr>
    <w:rPr>
      <w:rFonts w:ascii="Helvetica Neue" w:hAnsi="Helvetica Neue" w:cs="Arial Unicode MS"/>
      <w:color w:val="3C78D8"/>
      <w:u w:color="3C78D8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pPr>
      <w:spacing w:after="80"/>
      <w:outlineLvl w:val="0"/>
    </w:pPr>
    <w:rPr>
      <w:rFonts w:ascii="Helvetica Neue" w:hAnsi="Helvetica Neue" w:cs="Arial Unicode MS"/>
      <w:color w:val="3C78D8"/>
      <w:sz w:val="46"/>
      <w:szCs w:val="46"/>
      <w:u w:color="3C78D8"/>
      <w:lang w:val="en-US"/>
    </w:rPr>
  </w:style>
  <w:style w:type="paragraph" w:customStyle="1" w:styleId="BodyA">
    <w:name w:val="Body A"/>
    <w:pPr>
      <w:spacing w:after="80"/>
    </w:pPr>
    <w:rPr>
      <w:rFonts w:ascii="Helvetica Neue" w:hAnsi="Helvetica Neue" w:cs="Arial Unicode MS"/>
      <w:color w:val="282828"/>
      <w:u w:color="282828"/>
      <w:lang w:val="en-US"/>
    </w:rPr>
  </w:style>
  <w:style w:type="character" w:customStyle="1" w:styleId="NoneA">
    <w:name w:val="None A"/>
    <w:rPr>
      <w:lang w:val="en-US"/>
    </w:rPr>
  </w:style>
  <w:style w:type="character" w:customStyle="1" w:styleId="NoneB">
    <w:name w:val="None B"/>
    <w:basedOn w:val="NoneA"/>
    <w:rPr>
      <w:lang w:val="en-US"/>
    </w:rPr>
  </w:style>
  <w:style w:type="character" w:customStyle="1" w:styleId="Hyperlink0">
    <w:name w:val="Hyperlink.0"/>
    <w:basedOn w:val="NoneA"/>
    <w:rPr>
      <w:u w:val="single"/>
      <w:lang w:val="en-US"/>
    </w:rPr>
  </w:style>
  <w:style w:type="paragraph" w:styleId="ListParagraph">
    <w:name w:val="List Paragraph"/>
    <w:pPr>
      <w:spacing w:after="80"/>
    </w:pPr>
    <w:rPr>
      <w:rFonts w:ascii="Helvetica Neue" w:hAnsi="Helvetica Neue" w:cs="Arial Unicode MS"/>
      <w:color w:val="282828"/>
      <w:u w:color="2828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effersonaa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NIGHT-</dc:creator>
  <cp:lastModifiedBy>NIGHT-</cp:lastModifiedBy>
  <cp:revision>2</cp:revision>
  <dcterms:created xsi:type="dcterms:W3CDTF">2024-03-12T21:46:00Z</dcterms:created>
  <dcterms:modified xsi:type="dcterms:W3CDTF">2024-03-12T21:46:00Z</dcterms:modified>
</cp:coreProperties>
</file>